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Monthly Provider HCC Coding &amp; Quality Education Provider Training Series</w:instrText>
      </w:r>
      <w:r>
        <w:rPr>
          <w:b/>
          <w:bCs/>
        </w:rPr>
        <w:instrText>"</w:instrText>
      </w:r>
      <w:r>
        <w:rPr>
          <w:b/>
          <w:bCs/>
        </w:rPr>
        <w:instrText xml:space="preserve"> &lt;&gt; "" "</w:instrText>
      </w:r>
      <w:r>
        <w:rPr>
          <w:b/>
          <w:bCs/>
        </w:rPr>
        <w:instrText>2026 Monthly Provider HCC Coding &amp; Quality Education Provider Training Series</w:instrText>
      </w:r>
    </w:p>
    <w:p w:rsidR="00AC4A8F" w:rsidP="00AC4A8F">
      <w:pPr>
        <w:contextualSpacing/>
        <w:jc w:val="center"/>
        <w:rPr>
          <w:b/>
          <w:bCs/>
          <w:noProof/>
        </w:rPr>
      </w:pPr>
      <w:r>
        <w:rPr>
          <w:b/>
          <w:bCs/>
        </w:rPr>
        <w:instrText xml:space="preserve">" "" </w:instrText>
      </w:r>
      <w:r>
        <w:rPr>
          <w:b/>
          <w:bCs/>
        </w:rPr>
        <w:fldChar w:fldCharType="separate"/>
      </w:r>
      <w:r>
        <w:rPr>
          <w:b/>
          <w:bCs/>
        </w:rPr>
        <w:t>2026 Monthly Provider HCC Coding &amp; Quality Education Provider Training Series</w:t>
      </w:r>
    </w:p>
    <w:p w:rsidP="00AC4A8F">
      <w:pPr>
        <w:contextualSpacing/>
        <w:jc w:val="center"/>
        <w:rPr>
          <w:b/>
          <w:bCs/>
        </w:rPr>
      </w:pPr>
      <w:r>
        <w:rPr>
          <w:b/>
          <w:bCs/>
        </w:rPr>
        <w:fldChar w:fldCharType="end"/>
      </w:r>
      <w:r>
        <w:rPr>
          <w:b/>
          <w:bCs/>
        </w:rPr>
        <w:t>HCC Coding &amp; Quality Education Provider Training - Value Based Care: Opportunities and Risks</w:t>
      </w:r>
    </w:p>
    <w:p w:rsidR="00BE24B9" w:rsidP="00842797">
      <w:pPr>
        <w:contextualSpacing/>
        <w:jc w:val="center"/>
        <w:rPr>
          <w:b/>
          <w:bCs/>
        </w:rPr>
      </w:pPr>
      <w:r>
        <w:rPr>
          <w:b/>
          <w:bCs/>
        </w:rPr>
        <w:t>February 17, 2026</w:t>
      </w:r>
      <w:r w:rsidR="002D781B">
        <w:rPr>
          <w:b/>
          <w:bCs/>
        </w:rPr>
        <w:fldChar w:fldCharType="begin"/>
      </w:r>
      <w:r w:rsidR="002D781B">
        <w:rPr>
          <w:b/>
          <w:bCs/>
        </w:rPr>
        <w:instrText xml:space="preserve"> IF </w:instrText>
      </w:r>
      <w:r w:rsidR="002D781B">
        <w:rPr>
          <w:b/>
          <w:bCs/>
        </w:rPr>
        <w:instrText>"</w:instrText>
      </w:r>
      <w:r w:rsidR="002D781B">
        <w:rPr>
          <w:b/>
          <w:bCs/>
        </w:rPr>
        <w:instrText>2, 17, 2026</w:instrText>
      </w:r>
      <w:r w:rsidR="002D781B">
        <w:rPr>
          <w:b/>
          <w:bCs/>
        </w:rPr>
        <w:instrText>"</w:instrText>
      </w:r>
      <w:r w:rsidR="002D781B">
        <w:rPr>
          <w:b/>
          <w:bCs/>
        </w:rPr>
        <w:instrText xml:space="preserve"> &lt;&gt; "</w:instrText>
      </w:r>
      <w:r w:rsidR="002D781B">
        <w:rPr>
          <w:b/>
          <w:bCs/>
        </w:rPr>
        <w:instrText>2, 17, 2026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Teams</w:instrText>
      </w:r>
      <w:r w:rsidR="00BE24B9">
        <w:rPr>
          <w:b/>
          <w:bCs/>
        </w:rPr>
        <w:instrText xml:space="preserve"> &lt;&gt; "" "</w:instrText>
      </w:r>
    </w:p>
    <w:p w:rsidR="00AC4A8F" w:rsidP="00842797">
      <w:pPr>
        <w:contextualSpacing/>
        <w:jc w:val="center"/>
        <w:rPr>
          <w:b/>
          <w:bCs/>
          <w:noProof/>
        </w:rPr>
      </w:pPr>
      <w:r>
        <w:rPr>
          <w:b/>
          <w:bCs/>
        </w:rPr>
        <w:instrText>Teams</w:instrText>
      </w:r>
      <w:r>
        <w:rPr>
          <w:b/>
          <w:bCs/>
        </w:rPr>
        <w:instrText xml:space="preserve">" "" </w:instrText>
      </w:r>
      <w:r>
        <w:rPr>
          <w:b/>
          <w:bCs/>
        </w:rPr>
        <w:fldChar w:fldCharType="separate"/>
      </w:r>
    </w:p>
    <w:p w:rsidR="00BE24B9" w:rsidP="00842797">
      <w:pPr>
        <w:contextualSpacing/>
        <w:jc w:val="center"/>
        <w:rPr>
          <w:b/>
          <w:bCs/>
        </w:rPr>
      </w:pPr>
      <w:r>
        <w:rPr>
          <w:b/>
          <w:bCs/>
        </w:rPr>
        <w:t>Teams</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CRNA, Nurse, Nurse Practitioner, Physician Assistant, Resident, Non-Physician, Leader</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CRNA, Nurse, Nurse Practitioner, Physician Assistant, Resident, Non-Physician, Leader</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CRNA, Nurse, Nurse Practitioner, Physician Assistant, Resident, Non-Physician, Leader</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Evaluate YTD 2025 Primary Care and Specialty RAF recapture performance.</w:instrText>
      </w:r>
    </w:p>
    <w:p w:rsidP="005D5AE4">
      <w:pPr>
        <w:contextualSpacing/>
        <w:rPr>
          <w:noProof/>
        </w:rPr>
      </w:pPr>
      <w:r>
        <w:instrText>2 Define value-based care (VBC) and contrast with fee-for-service; introduce the STEEEP framework for value.</w:instrText>
      </w:r>
    </w:p>
    <w:p w:rsidP="005D5AE4">
      <w:pPr>
        <w:contextualSpacing/>
        <w:rPr>
          <w:noProof/>
        </w:rPr>
      </w:pPr>
      <w:r>
        <w:instrText>3 Describe key VBC payment models: ACOs, MACRA/QPP (MIPS &amp; Advanced APMs), Medicare Advantage, Medicare Shared Savings.</w:instrText>
      </w:r>
    </w:p>
    <w:p w:rsidP="005D5AE4">
      <w:pPr>
        <w:contextualSpacing/>
        <w:rPr>
          <w:noProof/>
        </w:rPr>
      </w:pPr>
      <w:r>
        <w:instrText xml:space="preserve">4 Identify core quality domains and common measures used to assess performance. </w:instrText>
      </w:r>
    </w:p>
    <w:p w:rsidP="005D5AE4">
      <w:pPr>
        <w:contextualSpacing/>
        <w:rPr>
          <w:noProof/>
        </w:rPr>
      </w:pPr>
      <w:r>
        <w:instrText>5 Apply case learnings from real-world organizations.</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Evaluate YTD 2025 Primary Care and Specialty RAF recapture performance.</w:instrText>
      </w:r>
    </w:p>
    <w:p w:rsidP="005D5AE4">
      <w:pPr>
        <w:contextualSpacing/>
        <w:rPr>
          <w:noProof/>
        </w:rPr>
      </w:pPr>
      <w:r>
        <w:instrText>2 Define value-based care (VBC) and contrast with fee-for-service; introduce the STEEEP framework for value.</w:instrText>
      </w:r>
    </w:p>
    <w:p w:rsidP="005D5AE4">
      <w:pPr>
        <w:contextualSpacing/>
        <w:rPr>
          <w:noProof/>
        </w:rPr>
      </w:pPr>
      <w:r>
        <w:instrText>3 Describe key VBC payment models: ACOs, MACRA/QPP (MIPS &amp; Advanced APMs), Medicare Advantage, Medicare Shared Savings.</w:instrText>
      </w:r>
    </w:p>
    <w:p w:rsidP="005D5AE4">
      <w:pPr>
        <w:contextualSpacing/>
        <w:rPr>
          <w:noProof/>
        </w:rPr>
      </w:pPr>
      <w:r>
        <w:instrText xml:space="preserve">4 Identify core quality domains and common measures used to assess performance. </w:instrText>
      </w:r>
    </w:p>
    <w:p w:rsidP="005D5AE4">
      <w:pPr>
        <w:contextualSpacing/>
        <w:rPr>
          <w:noProof/>
        </w:rPr>
      </w:pPr>
      <w:r>
        <w:instrText>5 Apply case learnings from real-world organizations.</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Evaluate YTD 2025 Primary Care and Specialty RAF recapture performance.</w:t>
      </w:r>
    </w:p>
    <w:p w:rsidP="005D5AE4">
      <w:pPr>
        <w:contextualSpacing/>
        <w:rPr>
          <w:noProof/>
        </w:rPr>
      </w:pPr>
      <w:r>
        <w:t>2 Define value-based care (VBC) and contrast with fee-for-service; introduce the STEEEP framework for value.</w:t>
      </w:r>
    </w:p>
    <w:p w:rsidP="005D5AE4">
      <w:pPr>
        <w:contextualSpacing/>
        <w:rPr>
          <w:noProof/>
        </w:rPr>
      </w:pPr>
      <w:r>
        <w:t>3 Describe key VBC payment models: ACOs, MACRA/QPP (MIPS &amp; Advanced APMs), Medicare Advantage, Medicare Shared Savings.</w:t>
      </w:r>
    </w:p>
    <w:p w:rsidP="005D5AE4">
      <w:pPr>
        <w:contextualSpacing/>
        <w:rPr>
          <w:noProof/>
        </w:rPr>
      </w:pPr>
      <w:r>
        <w:t xml:space="preserve">4 Identify core quality domains and common measures used to assess performance. </w:t>
      </w:r>
    </w:p>
    <w:p w:rsidP="005D5AE4">
      <w:pPr>
        <w:contextualSpacing/>
        <w:rPr>
          <w:noProof/>
        </w:rPr>
      </w:pPr>
      <w:r>
        <w:t>5 Apply case learnings from real-world organizations.</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0.75</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0.75</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0.75</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 Basta,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Elisabeth G St.Laurent, LPN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