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842797" w:rsidRPr="001C401A">
      <w:pPr>
        <w:contextualSpacing/>
      </w:pPr>
    </w:p>
    <w:p w:rsidR="00E0069F" w:rsidP="00842797">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0B7E6A">
        <w:rPr>
          <w:b/>
          <w:bCs/>
          <w:noProof/>
        </w:rPr>
        <w:instrText>«ParentName»</w:instrText>
      </w:r>
      <w:r>
        <w:rPr>
          <w:b/>
          <w:bCs/>
        </w:rPr>
        <w:fldChar w:fldCharType="end"/>
      </w:r>
    </w:p>
    <w:p w:rsidR="000B7E6A" w:rsidP="00842797">
      <w:pPr>
        <w:contextualSpacing/>
        <w:jc w:val="center"/>
        <w:rPr>
          <w:b/>
          <w:bCs/>
          <w:noProof/>
        </w:rPr>
      </w:pPr>
      <w:r>
        <w:rPr>
          <w:b/>
          <w:bCs/>
        </w:rPr>
        <w:instrText xml:space="preserve">" "" </w:instrText>
      </w:r>
      <w:r>
        <w:rPr>
          <w:b/>
          <w:bCs/>
        </w:rPr>
        <w:fldChar w:fldCharType="separate"/>
      </w:r>
      <w:r>
        <w:rPr>
          <w:b/>
          <w:bCs/>
        </w:rPr>
        <w:fldChar w:fldCharType="end"/>
      </w:r>
      <w:r>
        <w:rPr>
          <w:b/>
          <w:bCs/>
        </w:rPr>
        <w:t>2023 GYN ONC Cancer Conferences</w:t>
      </w:r>
    </w:p>
    <w:p w:rsidR="00BE24B9" w:rsidP="00842797">
      <w:pPr>
        <w:contextualSpacing/>
        <w:jc w:val="center"/>
        <w:rPr>
          <w:b/>
          <w:bCs/>
        </w:rPr>
      </w:pPr>
      <w:r>
        <w:rPr>
          <w:b/>
          <w:bCs/>
        </w:rPr>
        <w:t>February 9, 2023</w:t>
      </w:r>
      <w:r w:rsidR="002D781B">
        <w:rPr>
          <w:b/>
          <w:bCs/>
        </w:rPr>
        <w:fldChar w:fldCharType="begin"/>
      </w:r>
      <w:r w:rsidR="002D781B">
        <w:rPr>
          <w:b/>
          <w:bCs/>
        </w:rPr>
        <w:instrText xml:space="preserve"> IF </w:instrText>
      </w:r>
      <w:r w:rsidR="002D781B">
        <w:rPr>
          <w:b/>
          <w:bCs/>
        </w:rPr>
        <w:instrText>"</w:instrText>
      </w:r>
      <w:r w:rsidR="002D781B">
        <w:rPr>
          <w:b/>
          <w:bCs/>
        </w:rPr>
        <w:instrText>2, 9, 2023</w:instrText>
      </w:r>
      <w:r w:rsidR="002D781B">
        <w:rPr>
          <w:b/>
          <w:bCs/>
        </w:rPr>
        <w:instrText>"</w:instrText>
      </w:r>
      <w:r w:rsidR="002D781B">
        <w:rPr>
          <w:b/>
          <w:bCs/>
        </w:rPr>
        <w:instrText xml:space="preserve"> &lt;&gt; "</w:instrText>
      </w:r>
      <w:r w:rsidR="002D781B">
        <w:rPr>
          <w:b/>
          <w:bCs/>
        </w:rPr>
        <w:instrText>2, 9, 2023</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0B7E6A">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0B7E6A" w:rsidP="00842797">
      <w:pPr>
        <w:contextualSpacing/>
        <w:jc w:val="center"/>
        <w:rPr>
          <w:b/>
          <w:bCs/>
          <w:noProof/>
        </w:rPr>
      </w:pPr>
      <w:r>
        <w:rPr>
          <w:b/>
          <w:bCs/>
        </w:rPr>
        <w:instrText>5:00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6:00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5:00 PM</w:t>
      </w:r>
      <w:r w:rsidR="00BE24B9">
        <w:rPr>
          <w:b/>
          <w:bCs/>
        </w:rPr>
        <w:t xml:space="preserve"> </w:t>
      </w:r>
      <w:r w:rsidR="00BE24B9">
        <w:rPr>
          <w:rFonts w:ascii="Calibri" w:hAnsi="Calibri" w:cs="Calibri"/>
          <w:b/>
          <w:bCs/>
        </w:rPr>
        <w:t xml:space="preserve">– </w:t>
      </w:r>
      <w:r w:rsidR="00BE24B9">
        <w:rPr>
          <w:rFonts w:ascii="Calibri" w:hAnsi="Calibri" w:cs="Calibri"/>
          <w:b/>
          <w:bCs/>
        </w:rPr>
        <w:t>6:00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0B7E6A"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B7E6A">
        <w:rPr>
          <w:noProof/>
        </w:rPr>
        <w:instrText>"</w:instrText>
      </w:r>
      <w:r w:rsidR="000B7E6A">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0B7E6A">
        <w:rPr>
          <w:noProof/>
        </w:rPr>
        <w:instrText>«TargetProfessions»</w:instrText>
      </w:r>
      <w:r w:rsidR="000B7E6A">
        <w:rPr>
          <w:noProof/>
        </w:rPr>
        <w:fldChar w:fldCharType="end"/>
      </w:r>
    </w:p>
    <w:p w:rsidR="005D5AE4" w:rsidP="005D5AE4">
      <w:pPr>
        <w:contextualSpacing/>
      </w:pPr>
    </w:p>
    <w:p w:rsidR="000B7E6A"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Pr>
          <w:noProof/>
        </w:rPr>
        <w:instrText>"</w:instrText>
      </w:r>
      <w:r>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0B7E6A">
        <w:rPr>
          <w:noProof/>
        </w:rPr>
        <w:instrText>«Specialties»</w:instrText>
      </w:r>
      <w:r w:rsidR="000B7E6A">
        <w:rPr>
          <w:noProof/>
        </w:rPr>
        <w:fldChar w:fldCharType="end"/>
      </w:r>
    </w:p>
    <w:p w:rsidR="007C02ED" w:rsidP="005D5AE4">
      <w:pPr>
        <w:contextualSpacing/>
      </w:pPr>
    </w:p>
    <w:p w:rsidR="000B7E6A"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instrText>"</w:instrText>
      </w:r>
      <w:r>
        <w:instrText>1 Apply optimal treatment plans for patients with cancer managed at Sentara Healthcare integrating surgery, radiation therapy, chemotherapy, targeted therapy, and immunotherapy as needed.</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R="00A22F21" w:rsidP="005D5AE4">
      <w:pPr>
        <w:contextualSpacing/>
      </w:pPr>
    </w:p>
    <w:p w:rsidR="000B7E6A"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351DBE">
        <w:t>Sentara Healthcare is accredited by the Medical Society of Virginia (MSV) to provide medical education for physicians.</w:t>
      </w:r>
    </w:p>
    <w:p w:rsidR="00351DBE" w:rsidRPr="00351DBE" w:rsidP="005D5AE4">
      <w:pPr>
        <w:contextualSpacing/>
      </w:pPr>
    </w:p>
    <w:p w:rsidR="00A22F21" w:rsidRPr="00A22F21" w:rsidP="00A22F21">
      <w:pPr>
        <w:contextualSpacing/>
      </w:pPr>
      <w:r w:rsidRPr="00A22F21">
        <w:t xml:space="preserve">Sentara Healthcare designates this live activity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0B7E6A">
        <w:rPr>
          <w:noProof/>
        </w:rPr>
        <w:instrText>«CommercialSupport»</w:instrText>
      </w:r>
      <w:r w:rsidR="000B7E6A">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842797">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Healthcare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 Ellen Hodies,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E McCollum,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- 11/29/2022</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FF4472">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FB162D">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8439BD" w:rsidRPr="009F6BE1" w:rsidP="008439BD">
    <w:pPr>
      <w:pStyle w:val="Footer"/>
      <w:jc w:val="right"/>
      <w:rPr>
        <w:b/>
      </w:rPr>
    </w:pPr>
    <w:r w:rsidRPr="009F6BE1">
      <w:rPr>
        <w:b/>
      </w:rPr>
      <w:t>For more information, please contact</w:t>
    </w:r>
  </w:p>
  <w:p w:rsidR="008439BD" w:rsidP="008439BD">
    <w:pPr>
      <w:pStyle w:val="Footer"/>
      <w:jc w:val="right"/>
      <w:rPr>
        <w:b/>
        <w:bCs/>
      </w:rPr>
    </w:pPr>
    <w:r w:rsidRPr="004156DC">
      <w:rPr>
        <w:b/>
        <w:bCs/>
      </w:rPr>
      <w:t>Physician Educatio</w:t>
    </w:r>
    <w:r>
      <w:rPr>
        <w:b/>
        <w:bCs/>
      </w:rPr>
      <w:t>n</w:t>
    </w:r>
  </w:p>
  <w:p w:rsidR="008439BD" w:rsidP="008439BD">
    <w:pPr>
      <w:pStyle w:val="Footer"/>
      <w:jc w:val="right"/>
    </w:pPr>
    <w:r>
      <w:fldChar w:fldCharType="begin"/>
    </w:r>
    <w:r>
      <w:instrText xml:space="preserve"> HYPERLINK "mailto:physicianeducation@sentara.com" </w:instrText>
    </w:r>
    <w:r>
      <w:fldChar w:fldCharType="separate"/>
    </w:r>
    <w:r w:rsidRPr="001E4BF0">
      <w:rPr>
        <w:rStyle w:val="Hyperlink"/>
        <w:b/>
        <w:bCs/>
      </w:rPr>
      <w:t>physicianeducation@sentara.com</w:t>
    </w:r>
    <w:r>
      <w:fldChar w:fldCharType="end"/>
    </w:r>
  </w:p>
  <w:p w:rsidR="00FF4472" w:rsidP="00FF4472">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noProof/>
      </w:rPr>
      <w:drawing>
        <wp:inline distT="0" distB="0" distL="0" distR="0">
          <wp:extent cx="3003386" cy="420474"/>
          <wp:effectExtent l="0" t="0" r="0" b="0"/>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Derek Kuhlman</cp:lastModifiedBy>
  <cp:revision>3</cp:revision>
  <dcterms:created xsi:type="dcterms:W3CDTF">2022-05-10T20:26:00Z</dcterms:created>
  <dcterms:modified xsi:type="dcterms:W3CDTF">2022-05-25T20:06:00Z</dcterms:modified>
</cp:coreProperties>
</file>