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Optimizing Opioid Therapy for Chronic Pain Management in the Primary Care Setting 2024 - 2027</w:t>
      </w:r>
    </w:p>
    <w:p w:rsidR="00BE24B9" w:rsidP="00842797">
      <w:pPr>
        <w:contextualSpacing/>
        <w:jc w:val="center"/>
        <w:rPr>
          <w:b/>
          <w:bCs/>
        </w:rPr>
      </w:pPr>
      <w:r>
        <w:rPr>
          <w:b/>
          <w:bCs/>
        </w:rPr>
        <w:t>May 1, 2024</w:t>
      </w:r>
      <w:r w:rsidR="002D781B">
        <w:rPr>
          <w:b/>
          <w:bCs/>
        </w:rPr>
        <w:fldChar w:fldCharType="begin"/>
      </w:r>
      <w:r w:rsidR="002D781B">
        <w:rPr>
          <w:b/>
          <w:bCs/>
        </w:rPr>
        <w:instrText xml:space="preserve"> IF </w:instrText>
      </w:r>
      <w:r w:rsidR="002D781B">
        <w:rPr>
          <w:b/>
          <w:bCs/>
        </w:rPr>
        <w:instrText>"</w:instrText>
      </w:r>
      <w:r w:rsidR="002D781B">
        <w:rPr>
          <w:b/>
          <w:bCs/>
        </w:rPr>
        <w:instrText>5, 1, 2024</w:instrText>
      </w:r>
      <w:r w:rsidR="002D781B">
        <w:rPr>
          <w:b/>
          <w:bCs/>
        </w:rPr>
        <w:instrText>"</w:instrText>
      </w:r>
      <w:r w:rsidR="002D781B">
        <w:rPr>
          <w:b/>
          <w:bCs/>
        </w:rPr>
        <w:instrText xml:space="preserve"> &lt;&gt; "</w:instrText>
      </w:r>
      <w:r w:rsidR="002D781B">
        <w:rPr>
          <w:b/>
          <w:bCs/>
        </w:rPr>
        <w:instrText>5, 1, 2024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Enduring Material</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fldChar w:fldCharType="begin"/>
      </w:r>
      <w:r>
        <w:rPr>
          <w:b/>
          <w:bCs/>
        </w:rPr>
        <w:instrText xml:space="preserve"> MERGEFIELD StartTime \@</w:instrText>
      </w:r>
      <w:r w:rsidR="00BE24B9">
        <w:rPr>
          <w:b/>
          <w:bCs/>
        </w:rPr>
        <w:instrText xml:space="preserve"> "h:mm AM/PM"</w:instrText>
      </w:r>
      <w:r>
        <w:rPr>
          <w:b/>
          <w:bCs/>
        </w:rPr>
        <w:instrText xml:space="preserve"> </w:instrText>
      </w:r>
      <w:r>
        <w:rPr>
          <w:b/>
          <w:bCs/>
        </w:rPr>
        <w:fldChar w:fldCharType="separate"/>
      </w:r>
      <w:r>
        <w:rPr>
          <w:b/>
          <w:bCs/>
          <w:noProof/>
        </w:rPr>
        <w:instrText>«StartTime»</w:instrText>
      </w:r>
      <w:r>
        <w:rPr>
          <w:b/>
          <w:bCs/>
        </w:rPr>
        <w:fldChar w:fldCharType="end"/>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fldChar w:fldCharType="begin"/>
      </w:r>
      <w:r w:rsidR="00BE24B9">
        <w:rPr>
          <w:rFonts w:ascii="Calibri" w:hAnsi="Calibri" w:cs="Calibri"/>
          <w:b/>
          <w:bCs/>
        </w:rPr>
        <w:instrText xml:space="preserve"> MERGEFIELD EndTime \@ "h:mm AM/PM" </w:instrText>
      </w:r>
      <w:r w:rsidR="00BE24B9">
        <w:rPr>
          <w:rFonts w:ascii="Calibri" w:hAnsi="Calibri" w:cs="Calibri"/>
          <w:b/>
          <w:bCs/>
        </w:rPr>
        <w:fldChar w:fldCharType="separate"/>
      </w:r>
      <w:r>
        <w:rPr>
          <w:rFonts w:ascii="Calibri" w:hAnsi="Calibri" w:cs="Calibri"/>
          <w:b/>
          <w:bCs/>
          <w:noProof/>
        </w:rPr>
        <w:instrText>«EndTime»</w:instrText>
      </w:r>
      <w:r w:rsidR="00BE24B9">
        <w:rPr>
          <w:rFonts w:ascii="Calibri" w:hAnsi="Calibri" w:cs="Calibri"/>
          <w:b/>
          <w:bCs/>
        </w:rPr>
        <w:fldChar w:fldCharType="end"/>
      </w:r>
      <w:r w:rsidR="009F6D2F">
        <w:rPr>
          <w:b/>
          <w:bCs/>
        </w:rPr>
        <w:instrText xml:space="preserve">" "" </w:instrText>
      </w:r>
      <w:r w:rsidR="009F6D2F">
        <w:rPr>
          <w:b/>
          <w:bCs/>
        </w:rPr>
        <w:fldChar w:fldCharType="separate"/>
      </w:r>
      <w:r w:rsidR="009F6D2F">
        <w:rPr>
          <w:b/>
          <w:bCs/>
        </w:rPr>
        <w:fldChar w:fldCharType="end"/>
      </w:r>
      <w:r w:rsidR="00BE24B9">
        <w:rPr>
          <w:b/>
          <w:bCs/>
        </w:rPr>
        <w:fldChar w:fldCharType="begin"/>
      </w:r>
      <w:r w:rsidR="00BE24B9">
        <w:rPr>
          <w:b/>
          <w:bCs/>
        </w:rPr>
        <w:instrText xml:space="preserve"> IF </w:instrText>
      </w:r>
      <w:r w:rsidR="00BE24B9">
        <w:rPr>
          <w:b/>
          <w:bCs/>
        </w:rPr>
        <w:instrText>Online</w:instrText>
      </w:r>
      <w:r w:rsidR="00BE24B9">
        <w:rPr>
          <w:b/>
          <w:bCs/>
        </w:rPr>
        <w:instrText xml:space="preserve"> &lt;&gt; "" "</w:instrText>
      </w:r>
    </w:p>
    <w:p w:rsidR="00AC4A8F" w:rsidP="00842797">
      <w:pPr>
        <w:contextualSpacing/>
        <w:jc w:val="center"/>
        <w:rPr>
          <w:b/>
          <w:bCs/>
          <w:noProof/>
        </w:rPr>
      </w:pPr>
      <w:r>
        <w:rPr>
          <w:b/>
          <w:bCs/>
        </w:rPr>
        <w:instrText>Online</w:instrText>
      </w:r>
      <w:r>
        <w:rPr>
          <w:b/>
          <w:bCs/>
        </w:rPr>
        <w:instrText xml:space="preserve">" "" </w:instrText>
      </w:r>
      <w:r>
        <w:rPr>
          <w:b/>
          <w:bCs/>
        </w:rPr>
        <w:fldChar w:fldCharType="separate"/>
      </w:r>
    </w:p>
    <w:p w:rsidR="00BE24B9" w:rsidP="00842797">
      <w:pPr>
        <w:contextualSpacing/>
        <w:jc w:val="center"/>
        <w:rPr>
          <w:b/>
          <w:bCs/>
        </w:rPr>
      </w:pPr>
      <w:r>
        <w:rPr>
          <w:b/>
          <w:bCs/>
        </w:rPr>
        <w:t>Online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CRNA, Nurse, Nurse Practitioner, Pharmacist, Physician Assistant, Non-Physician</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CRNA, Nurse, Nurse Practitioner, Pharmacist, Physician Assistant, Non-Physician</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CRNA, Nurse, Nurse Practitioner, Pharmacist, Physician Assistant, Non-Physician</w:t>
      </w:r>
    </w:p>
    <w:p w:rsidR="005D5AE4" w:rsidP="005D5AE4">
      <w:pPr>
        <w:contextualSpacing/>
      </w:pPr>
    </w:p>
    <w:p w:rsidP="005D5AE4">
      <w:pPr>
        <w:contextualSpacing/>
      </w:pPr>
      <w:r>
        <w:fldChar w:fldCharType="end"/>
      </w:r>
      <w:r>
        <w:fldChar w:fldCharType="begin"/>
      </w:r>
      <w:r>
        <w:instrText xml:space="preserve"> IF </w:instrText>
      </w:r>
      <w:r>
        <w:instrText>"</w:instrText>
      </w:r>
      <w:r>
        <w:instrText>Anesthesiology, Dermatology, Emergency Medicine, Family Medicine, Internal Medicine, Obstetrics And Gynegcology, Pathology, Pediatrics, Physical Medicine And Rehabilitation, Preventative Medicine, Psychiatry And Neurology, Radiology, Surgery, Thoracic Surgery, Urology, National Commission On Certification Of Physician Assistants, Addictions, Alzheimers, Ambulatory Care, Audiology, Autism Spectrum Disorder, Cardiology, Chronic Illness, Clinical Microsystems, Decision Making, Diabetes &amp; Endocrinology, Echocardiography, Ethics, Gastro &amp; Hepatology, Global Health, Health Literacy, Hiv Aids, Holistic Health, Hospitalist, Iv Therapy, Medical, Medical Surgical, Medicine, Mental Health, Morbid Obesity, Neonatal, Neuroimmunology, Neurology, Non-Clinical, Nurse, Nurse Educators, Nursing:, Nursing: General, Nutrition, Oncology, Ophthalmology, Orthopaedics, Other, Otolaryngology, Pacu, Pain Mgmt, Palliative Care, Periop Nursing, Pharmacogenomics, Pharmacy, Physicians, Physicians - General, Plastic Surgery, Primary, Primary Care, Psychiatry, Quality Improvement, Rehab Medicine, Research, Sexual/Domestic Abuse, Social, Social Work, Tobacco, Tobacco Cessation, Transplant, Traumatology, Vascular Surgery, Neurosurgery</w:instrText>
      </w:r>
      <w:r>
        <w:instrText>"</w:instrText>
      </w:r>
      <w:r>
        <w:instrText xml:space="preserve"> &lt;&gt; "" "</w:instrText>
      </w:r>
      <w:r>
        <w:rPr>
          <w:b/>
          <w:bCs/>
        </w:rPr>
        <w:instrText>Specialties</w:instrText>
      </w:r>
    </w:p>
    <w:p w:rsidR="007C02ED" w:rsidP="005D5AE4">
      <w:pPr>
        <w:contextualSpacing/>
      </w:pPr>
      <w:r>
        <w:instrText>Anesthesiology, Dermatology, Emergency Medicine, Family Medicine, Internal Medicine, Obstetrics And Gynegcology, Pathology, Pediatrics, Physical Medicine And Rehabilitation, Preventative Medicine, Psychiatry And Neurology, Radiology, Surgery, Thoracic Surgery, Urology, National Commission On Certification Of Physician Assistants, Addictions, Alzheimers, Ambulatory Care, Audiology, Autism Spectrum Disorder, Cardiology, Chronic Illness, Clinical Microsystems, Decision Making, Diabetes &amp; Endocrinology, Echocardiography, Ethics, Gastro &amp; Hepatology, Global Health, Health Literacy, Hiv Aids, Holistic Health, Hospitalist, Iv Therapy, Medical, Medical Surgical, Medicine, Mental Health, Morbid Obesity, Neonatal, Neuroimmunology, Neurology, Non-Clinical, Nurse, Nurse Educators, Nursing:, Nursing: General, Nutrition, Oncology, Ophthalmology, Orthopaedics, Other, Otolaryngology, Pacu, Pain Mgmt, Palliative Care, Periop Nursing, Pharmacogenomics, Pharmacy, Physicians, Physicians - General, Plastic Surgery, Primary, Primary Care, Psychiatry, Quality Improvement, Rehab Medicine, Research, Sexual/Domestic Abuse, Social, Social Work, Tobacco, Tobacco Cessation, Transplant, Traumatology, Vascular Surgery, Neurosurgery</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Anesthesiology, Dermatology, Emergency Medicine, Family Medicine, Internal Medicine, Obstetrics And Gynegcology, Pathology, Pediatrics, Physical Medicine And Rehabilitation, Preventative Medicine, Psychiatry And Neurology, Radiology, Surgery, Thoracic Surgery, Urology, National Commission On Certification Of Physician Assistants, Addictions, Alzheimers, Ambulatory Care, Audiology, Autism Spectrum Disorder, Cardiology, Chronic Illness, Clinical Microsystems, Decision Making, Diabetes &amp; Endocrinology, Echocardiography, Ethics, Gastro &amp; Hepatology, Global Health, Health Literacy, Hiv Aids, Holistic Health, Hospitalist, Iv Therapy, Medical, Medical Surgical, Medicine, Mental Health, Morbid Obesity, Neonatal, Neuroimmunology, Neurology, Non-Clinical, Nurse, Nurse Educators, Nursing:, Nursing: General, Nutrition, Oncology, Ophthalmology, Orthopaedics, Other, Otolaryngology, Pacu, Pain Mgmt, Palliative Care, Periop Nursing, Pharmacogenomics, Pharmacy, Physicians, Physicians - General, Plastic Surgery, Primary, Primary Care, Psychiatry, Quality Improvement, Rehab Medicine, Research, Sexual/Domestic Abuse, Social, Social Work, Tobacco, Tobacco Cessation, Transplant, Traumatology, Vascular Surgery, Neurosurgery</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1 Review guidelines and regulatory updates regarding opioid therapy for chronic pain management.</w:instrText>
      </w:r>
    </w:p>
    <w:p w:rsidR="00AC4A8F" w:rsidP="005D5AE4">
      <w:pPr>
        <w:contextualSpacing/>
        <w:rPr>
          <w:noProof/>
        </w:rPr>
      </w:pPr>
      <w:r>
        <w:instrText>2 Use a standardized, systematic approach toward assessment and management of chronic pain.</w:instrText>
      </w:r>
    </w:p>
    <w:p w:rsidR="00AC4A8F" w:rsidP="005D5AE4">
      <w:pPr>
        <w:contextualSpacing/>
        <w:rPr>
          <w:noProof/>
        </w:rPr>
      </w:pPr>
      <w:r>
        <w:instrText>3 Assess the risks and benefits of long-term opioid therapy for chronic pain and factors associated with prescription opioid overdose and abuse.</w:instrText>
      </w:r>
    </w:p>
    <w:p w:rsidR="00AC4A8F" w:rsidP="005D5AE4">
      <w:pPr>
        <w:contextualSpacing/>
        <w:rPr>
          <w:noProof/>
        </w:rPr>
      </w:pPr>
      <w:r>
        <w:instrText>4 Identify available electronic tools to optimize patient care and provider documentation.</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Review guidelines and regulatory updates regarding opioid therapy for chronic pain management.</w:instrText>
      </w:r>
    </w:p>
    <w:p w:rsidR="00AC4A8F" w:rsidP="005D5AE4">
      <w:pPr>
        <w:contextualSpacing/>
        <w:rPr>
          <w:noProof/>
        </w:rPr>
      </w:pPr>
      <w:r>
        <w:instrText>2 Use a standardized, systematic approach toward assessment and management of chronic pain.</w:instrText>
      </w:r>
    </w:p>
    <w:p w:rsidR="00AC4A8F" w:rsidP="005D5AE4">
      <w:pPr>
        <w:contextualSpacing/>
        <w:rPr>
          <w:noProof/>
        </w:rPr>
      </w:pPr>
      <w:r>
        <w:instrText>3 Assess the risks and benefits of long-term opioid therapy for chronic pain and factors associated with prescription opioid overdose and abuse.</w:instrText>
      </w:r>
    </w:p>
    <w:p w:rsidR="00AC4A8F" w:rsidP="005D5AE4">
      <w:pPr>
        <w:contextualSpacing/>
        <w:rPr>
          <w:noProof/>
        </w:rPr>
      </w:pPr>
      <w:r>
        <w:instrText>4 Identify available electronic tools to optimize patient care and provider documentation.</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Review guidelines and regulatory updates regarding opioid therapy for chronic pain management.</w:t>
      </w:r>
    </w:p>
    <w:p w:rsidR="00AC4A8F" w:rsidP="005D5AE4">
      <w:pPr>
        <w:contextualSpacing/>
        <w:rPr>
          <w:noProof/>
        </w:rPr>
      </w:pPr>
      <w:r>
        <w:t>2 Use a standardized, systematic approach toward assessment and management of chronic pain.</w:t>
      </w:r>
    </w:p>
    <w:p w:rsidR="00AC4A8F" w:rsidP="005D5AE4">
      <w:pPr>
        <w:contextualSpacing/>
        <w:rPr>
          <w:noProof/>
        </w:rPr>
      </w:pPr>
      <w:r>
        <w:t>3 Assess the risks and benefits of long-term opioid therapy for chronic pain and factors associated with prescription opioid overdose and abuse.</w:t>
      </w:r>
    </w:p>
    <w:p w:rsidR="00AC4A8F" w:rsidP="005D5AE4">
      <w:pPr>
        <w:contextualSpacing/>
        <w:rPr>
          <w:noProof/>
        </w:rPr>
      </w:pPr>
      <w:r>
        <w:t>4 Identify available electronic tools to optimize patient care and provider documentation.</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351DBE">
        <w:t>Sentara is accredited by the Medical Society of Virginia (MSV) to provide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Enduring Material</w:instrText>
      </w:r>
      <w:r>
        <w:instrText>"</w:instrText>
      </w:r>
      <w:r w:rsidR="000677C6">
        <w:instrText xml:space="preserve"> &lt;&gt; "" "</w:instrText>
      </w:r>
      <w:r>
        <w:instrText>Enduring Material</w:instrText>
      </w:r>
      <w:r w:rsidR="000677C6">
        <w:instrText xml:space="preserve">" "activity" </w:instrText>
      </w:r>
      <w:r w:rsidR="000677C6">
        <w:fldChar w:fldCharType="separate"/>
      </w:r>
      <w:r>
        <w:t>Enduring Material</w:t>
      </w:r>
      <w:r w:rsidR="000677C6">
        <w:fldChar w:fldCharType="end"/>
      </w:r>
      <w:r w:rsidRPr="00A22F21">
        <w:t xml:space="preserve"> for a maximum of </w:t>
      </w:r>
      <w:r>
        <w:t>3.00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3.00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3.00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3.00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3.00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3.00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3.00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instrText>3.00</w:instrText>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learner to earn up to </w:t>
      </w:r>
      <w:r w:rsidRPr="000B7E6A">
        <w:t>3.00</w:t>
      </w:r>
      <w:r w:rsidRPr="000B7E6A">
        <w:t xml:space="preserve"> MOC points in the American Board of Pediatrics' (ABP) Maintenance of Certification (MOC) program. It is the CME activity provider's responsibility to submit learner completion information to ACCME for the purpose of granting ABP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sidR="00AC4A8F">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842797">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Dery, Pharm D, BCGP, 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CANDACE MINTER, Pharm 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G Charles,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consultant-Pfizer (Any division) - 02/01/2024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FF4472">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FB162D">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Welch, Thomas</cp:lastModifiedBy>
  <cp:revision>3</cp:revision>
  <dcterms:created xsi:type="dcterms:W3CDTF">2023-06-01T13:29:00Z</dcterms:created>
  <dcterms:modified xsi:type="dcterms:W3CDTF">2023-08-22T21:09:00Z</dcterms:modified>
</cp:coreProperties>
</file>