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2025 Monthly Provider HCC Education Update</w:instrText>
      </w:r>
      <w:r>
        <w:rPr>
          <w:b/>
          <w:bCs/>
        </w:rPr>
        <w:instrText>"</w:instrText>
      </w:r>
      <w:r>
        <w:rPr>
          <w:b/>
          <w:bCs/>
        </w:rPr>
        <w:instrText xml:space="preserve"> &lt;&gt; "" "</w:instrText>
      </w:r>
      <w:r>
        <w:rPr>
          <w:b/>
          <w:bCs/>
        </w:rPr>
        <w:instrText>2025 Monthly Provider HCC Education Update</w:instrText>
      </w:r>
    </w:p>
    <w:p w:rsidR="00AC4A8F" w:rsidP="00AC4A8F">
      <w:pPr>
        <w:contextualSpacing/>
        <w:jc w:val="center"/>
        <w:rPr>
          <w:b/>
          <w:bCs/>
          <w:noProof/>
        </w:rPr>
      </w:pPr>
      <w:r>
        <w:rPr>
          <w:b/>
          <w:bCs/>
        </w:rPr>
        <w:instrText xml:space="preserve">" "" </w:instrText>
      </w:r>
      <w:r>
        <w:rPr>
          <w:b/>
          <w:bCs/>
        </w:rPr>
        <w:fldChar w:fldCharType="separate"/>
      </w:r>
      <w:r>
        <w:rPr>
          <w:b/>
          <w:bCs/>
        </w:rPr>
        <w:t>2025 Monthly Provider HCC Education Update</w:t>
      </w:r>
    </w:p>
    <w:p w:rsidP="00AC4A8F">
      <w:pPr>
        <w:contextualSpacing/>
        <w:jc w:val="center"/>
        <w:rPr>
          <w:b/>
          <w:bCs/>
        </w:rPr>
      </w:pPr>
      <w:r>
        <w:rPr>
          <w:b/>
          <w:bCs/>
        </w:rPr>
        <w:fldChar w:fldCharType="end"/>
      </w:r>
      <w:r>
        <w:rPr>
          <w:b/>
          <w:bCs/>
        </w:rPr>
        <w:t>2025 Monthly Provider HCC Education Update - Transitional Care Management (TCM)</w:t>
      </w:r>
    </w:p>
    <w:p w:rsidR="00BE24B9" w:rsidP="00842797">
      <w:pPr>
        <w:contextualSpacing/>
        <w:jc w:val="center"/>
        <w:rPr>
          <w:b/>
          <w:bCs/>
        </w:rPr>
      </w:pPr>
      <w:r>
        <w:rPr>
          <w:b/>
          <w:bCs/>
        </w:rPr>
        <w:t>September 16, 2025</w:t>
      </w:r>
      <w:r w:rsidR="002D781B">
        <w:rPr>
          <w:b/>
          <w:bCs/>
        </w:rPr>
        <w:fldChar w:fldCharType="begin"/>
      </w:r>
      <w:r w:rsidR="002D781B">
        <w:rPr>
          <w:b/>
          <w:bCs/>
        </w:rPr>
        <w:instrText xml:space="preserve"> IF </w:instrText>
      </w:r>
      <w:r w:rsidR="002D781B">
        <w:rPr>
          <w:b/>
          <w:bCs/>
        </w:rPr>
        <w:instrText>"</w:instrText>
      </w:r>
      <w:r w:rsidR="002D781B">
        <w:rPr>
          <w:b/>
          <w:bCs/>
        </w:rPr>
        <w:instrText>9, 16, 2025</w:instrText>
      </w:r>
      <w:r w:rsidR="002D781B">
        <w:rPr>
          <w:b/>
          <w:bCs/>
        </w:rPr>
        <w:instrText>"</w:instrText>
      </w:r>
      <w:r w:rsidR="002D781B">
        <w:rPr>
          <w:b/>
          <w:bCs/>
        </w:rPr>
        <w:instrText xml:space="preserve"> &lt;&gt; "</w:instrText>
      </w:r>
      <w:r w:rsidR="002D781B">
        <w:rPr>
          <w:b/>
          <w:bCs/>
        </w:rPr>
        <w:instrText>9, 16, 2025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Pharmacist, Physician Assistant, Non-Physician, Leader</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Non-Physician, Leader</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Non-Physician, Leader</w:t>
      </w:r>
    </w:p>
    <w:p w:rsidR="005D5AE4" w:rsidP="005D5AE4">
      <w:pPr>
        <w:contextualSpacing/>
      </w:pPr>
    </w:p>
    <w:p w:rsidP="005D5AE4">
      <w:pPr>
        <w:contextualSpacing/>
      </w:pP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Evaluate YTD 2025 Primary Care and Specialty RAF recapture performance.</w:instrText>
      </w:r>
    </w:p>
    <w:p w:rsidP="005D5AE4">
      <w:pPr>
        <w:contextualSpacing/>
        <w:rPr>
          <w:noProof/>
        </w:rPr>
      </w:pPr>
      <w:r>
        <w:instrText>1 Understand the purpose and importance of Transitional Care Management (TCM), including proper billing, required documentation, and cliinical best practices.</w:instrText>
      </w:r>
    </w:p>
    <w:p w:rsidP="005D5AE4">
      <w:pPr>
        <w:contextualSpacing/>
        <w:rPr>
          <w:noProof/>
        </w:rPr>
      </w:pPr>
      <w:r>
        <w:instrText>2 Analyze HCC Compliance audit results for SASD primary care providers.</w:instrText>
      </w:r>
    </w:p>
    <w:p w:rsidP="005D5AE4">
      <w:pPr>
        <w:contextualSpacing/>
        <w:rPr>
          <w:noProof/>
        </w:rPr>
      </w:pPr>
      <w:r>
        <w:instrText>3 Recognize the value of coding and billing SDOH using appropriate ICD-10-CM Z-codes to support patient care and data accuracy.</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Evaluate YTD 2025 Primary Care and Specialty RAF recapture performance.</w:instrText>
      </w:r>
    </w:p>
    <w:p w:rsidP="005D5AE4">
      <w:pPr>
        <w:contextualSpacing/>
        <w:rPr>
          <w:noProof/>
        </w:rPr>
      </w:pPr>
      <w:r>
        <w:instrText>1 Understand the purpose and importance of Transitional Care Management (TCM), including proper billing, required documentation, and cliinical best practices.</w:instrText>
      </w:r>
    </w:p>
    <w:p w:rsidP="005D5AE4">
      <w:pPr>
        <w:contextualSpacing/>
        <w:rPr>
          <w:noProof/>
        </w:rPr>
      </w:pPr>
      <w:r>
        <w:instrText>2 Analyze HCC Compliance audit results for SASD primary care providers.</w:instrText>
      </w:r>
    </w:p>
    <w:p w:rsidP="005D5AE4">
      <w:pPr>
        <w:contextualSpacing/>
        <w:rPr>
          <w:noProof/>
        </w:rPr>
      </w:pPr>
      <w:r>
        <w:instrText>3 Recognize the value of coding and billing SDOH using appropriate ICD-10-CM Z-codes to support patient care and data accuracy.</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Evaluate YTD 2025 Primary Care and Specialty RAF recapture performance.</w:t>
      </w:r>
    </w:p>
    <w:p w:rsidP="005D5AE4">
      <w:pPr>
        <w:contextualSpacing/>
        <w:rPr>
          <w:noProof/>
        </w:rPr>
      </w:pPr>
      <w:r>
        <w:t>1 Understand the purpose and importance of Transitional Care Management (TCM), including proper billing, required documentation, and cliinical best practices.</w:t>
      </w:r>
    </w:p>
    <w:p w:rsidP="005D5AE4">
      <w:pPr>
        <w:contextualSpacing/>
        <w:rPr>
          <w:noProof/>
        </w:rPr>
      </w:pPr>
      <w:r>
        <w:t>2 Analyze HCC Compliance audit results for SASD primary care providers.</w:t>
      </w:r>
    </w:p>
    <w:p w:rsidP="005D5AE4">
      <w:pPr>
        <w:contextualSpacing/>
        <w:rPr>
          <w:noProof/>
        </w:rPr>
      </w:pPr>
      <w:r>
        <w:t>3 Recognize the value of coding and billing SDOH using appropriate ICD-10-CM Z-codes to support patient care and data accuracy.</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AE35B9">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0.75</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0.75</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0.75</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0.75</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0.75</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0.75</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0.75</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D4485D">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N Zeiber,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G St.Laurent, LPN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J Dickinson,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S Pettry, CPC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- 09/10/2025</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D4485D">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D4485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Continuing Medical Education</w:t>
    </w:r>
  </w:p>
  <w:p w:rsidR="00203557" w:rsidP="00FF4472">
    <w:pPr>
      <w:pStyle w:val="Footer"/>
      <w:jc w:val="right"/>
      <w:rPr>
        <w:b/>
        <w:bCs/>
      </w:rPr>
    </w:pPr>
    <w:r>
      <w:fldChar w:fldCharType="begin"/>
    </w:r>
    <w:r>
      <w:instrText xml:space="preserve"> HYPERLINK "mailto:cme@sentara.com" </w:instrText>
    </w:r>
    <w:r>
      <w:fldChar w:fldCharType="separate"/>
    </w:r>
    <w:r w:rsidRPr="000002D7">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2024-08-30T16:09:00Z</dcterms:created>
  <dcterms:modified xsi:type="dcterms:W3CDTF">2024-08-30T16:09:00Z</dcterms:modified>
</cp:coreProperties>
</file>