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 xml:space="preserve">2025 Sentara Community Care Provider Series </w:instrText>
      </w:r>
      <w:r>
        <w:rPr>
          <w:b/>
          <w:bCs/>
        </w:rPr>
        <w:instrText>"</w:instrText>
      </w:r>
      <w:r>
        <w:rPr>
          <w:b/>
          <w:bCs/>
        </w:rPr>
        <w:instrText xml:space="preserve"> &lt;&gt; "" "</w:instrText>
      </w:r>
      <w:r>
        <w:rPr>
          <w:b/>
          <w:bCs/>
        </w:rPr>
        <w:instrText xml:space="preserve">2025 Sentara Community Care Provider Series </w:instrText>
      </w:r>
    </w:p>
    <w:p w:rsidR="00AC4A8F" w:rsidP="00AC4A8F">
      <w:pPr>
        <w:contextualSpacing/>
        <w:jc w:val="center"/>
        <w:rPr>
          <w:b/>
          <w:bCs/>
          <w:noProof/>
        </w:rPr>
      </w:pPr>
      <w:r>
        <w:rPr>
          <w:b/>
          <w:bCs/>
        </w:rPr>
        <w:instrText xml:space="preserve">" "" </w:instrText>
      </w:r>
      <w:r>
        <w:rPr>
          <w:b/>
          <w:bCs/>
        </w:rPr>
        <w:fldChar w:fldCharType="separate"/>
      </w:r>
      <w:r>
        <w:rPr>
          <w:b/>
          <w:bCs/>
        </w:rPr>
        <w:t xml:space="preserve">2025 Sentara Community Care Provider Series </w:t>
      </w:r>
    </w:p>
    <w:p w:rsidP="00AC4A8F">
      <w:pPr>
        <w:contextualSpacing/>
        <w:jc w:val="center"/>
        <w:rPr>
          <w:b/>
          <w:bCs/>
        </w:rPr>
      </w:pPr>
      <w:r>
        <w:rPr>
          <w:b/>
          <w:bCs/>
        </w:rPr>
        <w:fldChar w:fldCharType="end"/>
      </w:r>
      <w:r>
        <w:rPr>
          <w:b/>
          <w:bCs/>
        </w:rPr>
        <w:t>2025 Sentara Community Care Clinics Endocrinology Update-Diabetes</w:t>
      </w:r>
    </w:p>
    <w:p w:rsidR="00BE24B9" w:rsidP="00842797">
      <w:pPr>
        <w:contextualSpacing/>
        <w:jc w:val="center"/>
        <w:rPr>
          <w:b/>
          <w:bCs/>
        </w:rPr>
      </w:pPr>
      <w:r>
        <w:rPr>
          <w:b/>
          <w:bCs/>
        </w:rPr>
        <w:t>November 19, 2025</w:t>
      </w:r>
      <w:r w:rsidR="002D781B">
        <w:rPr>
          <w:b/>
          <w:bCs/>
        </w:rPr>
        <w:fldChar w:fldCharType="begin"/>
      </w:r>
      <w:r w:rsidR="002D781B">
        <w:rPr>
          <w:b/>
          <w:bCs/>
        </w:rPr>
        <w:instrText xml:space="preserve"> IF </w:instrText>
      </w:r>
      <w:r w:rsidR="002D781B">
        <w:rPr>
          <w:b/>
          <w:bCs/>
        </w:rPr>
        <w:instrText>"</w:instrText>
      </w:r>
      <w:r w:rsidR="002D781B">
        <w:rPr>
          <w:b/>
          <w:bCs/>
        </w:rPr>
        <w:instrText>11, 19, 2025</w:instrText>
      </w:r>
      <w:r w:rsidR="002D781B">
        <w:rPr>
          <w:b/>
          <w:bCs/>
        </w:rPr>
        <w:instrText>"</w:instrText>
      </w:r>
      <w:r w:rsidR="002D781B">
        <w:rPr>
          <w:b/>
          <w:bCs/>
        </w:rPr>
        <w:instrText xml:space="preserve"> &lt;&gt; "</w:instrText>
      </w:r>
      <w:r w:rsidR="002D781B">
        <w:rPr>
          <w:b/>
          <w:bCs/>
        </w:rPr>
        <w:instrText>11, 19, 2025</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12:30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1:30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12:30 PM</w:t>
      </w:r>
      <w:r w:rsidR="00BE24B9">
        <w:rPr>
          <w:b/>
          <w:bCs/>
        </w:rPr>
        <w:t xml:space="preserve"> </w:t>
      </w:r>
      <w:r w:rsidR="00BE24B9">
        <w:rPr>
          <w:rFonts w:ascii="Calibri" w:hAnsi="Calibri" w:cs="Calibri"/>
          <w:b/>
          <w:bCs/>
        </w:rPr>
        <w:t xml:space="preserve">– </w:t>
      </w:r>
      <w:r w:rsidR="00BE24B9">
        <w:rPr>
          <w:rFonts w:ascii="Calibri" w:hAnsi="Calibri" w:cs="Calibri"/>
          <w:b/>
          <w:bCs/>
        </w:rPr>
        <w:t>1:30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Corporate</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Corporate</w:instrText>
      </w:r>
      <w:r>
        <w:rPr>
          <w:b/>
          <w:bCs/>
        </w:rPr>
        <w:instrText xml:space="preserve">" "" </w:instrText>
      </w:r>
      <w:r>
        <w:rPr>
          <w:b/>
          <w:bCs/>
        </w:rPr>
        <w:fldChar w:fldCharType="separate"/>
      </w:r>
    </w:p>
    <w:p w:rsidR="00BE24B9" w:rsidP="00842797">
      <w:pPr>
        <w:contextualSpacing/>
        <w:jc w:val="center"/>
        <w:rPr>
          <w:b/>
          <w:bCs/>
        </w:rPr>
      </w:pPr>
      <w:r>
        <w:rPr>
          <w:b/>
          <w:bCs/>
        </w:rPr>
        <w:t>Sentara Corporate</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instrText>"</w:instrText>
      </w:r>
      <w:r>
        <w:instrText>Primary Care</w:instrText>
      </w:r>
      <w:r>
        <w:instrText>"</w:instrText>
      </w:r>
      <w:r>
        <w:instrText xml:space="preserve"> &lt;&gt; "" "</w:instrText>
      </w:r>
      <w:r>
        <w:rPr>
          <w:b/>
          <w:bCs/>
        </w:rPr>
        <w:instrText>Specialties</w:instrText>
      </w:r>
    </w:p>
    <w:p w:rsidR="007C02ED" w:rsidP="005D5AE4">
      <w:pPr>
        <w:contextualSpacing/>
      </w:pPr>
      <w:r>
        <w:instrText>Primary Care</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Primary Care</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Recognize non-medication interventions and supports to improve health in people with diabetes.</w:instrText>
      </w:r>
    </w:p>
    <w:p w:rsidP="005D5AE4">
      <w:pPr>
        <w:contextualSpacing/>
        <w:rPr>
          <w:noProof/>
        </w:rPr>
      </w:pPr>
      <w:r>
        <w:instrText>2 Identify patients who would benefit most from continuous glucose monitoring.</w:instrText>
      </w:r>
    </w:p>
    <w:p w:rsidP="005D5AE4">
      <w:pPr>
        <w:contextualSpacing/>
        <w:rPr>
          <w:noProof/>
        </w:rPr>
      </w:pPr>
      <w:r>
        <w:instrText>3 Locate and access cost-saving programs for diabetes medications.</w:instrText>
      </w:r>
    </w:p>
    <w:p w:rsidP="005D5AE4">
      <w:pPr>
        <w:contextualSpacing/>
        <w:rPr>
          <w:noProof/>
        </w:rPr>
      </w:pPr>
      <w:r>
        <w:instrText>4 Conduct initial evaluation when type 1 diabetes is suspected.</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Recognize non-medication interventions and supports to improve health in people with diabetes.</w:instrText>
      </w:r>
    </w:p>
    <w:p w:rsidP="005D5AE4">
      <w:pPr>
        <w:contextualSpacing/>
        <w:rPr>
          <w:noProof/>
        </w:rPr>
      </w:pPr>
      <w:r>
        <w:instrText>2 Identify patients who would benefit most from continuous glucose monitoring.</w:instrText>
      </w:r>
    </w:p>
    <w:p w:rsidP="005D5AE4">
      <w:pPr>
        <w:contextualSpacing/>
        <w:rPr>
          <w:noProof/>
        </w:rPr>
      </w:pPr>
      <w:r>
        <w:instrText>3 Locate and access cost-saving programs for diabetes medications.</w:instrText>
      </w:r>
    </w:p>
    <w:p w:rsidP="005D5AE4">
      <w:pPr>
        <w:contextualSpacing/>
        <w:rPr>
          <w:noProof/>
        </w:rPr>
      </w:pPr>
      <w:r>
        <w:instrText>4 Conduct initial evaluation when type 1 diabetes is suspected.</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Recognize non-medication interventions and supports to improve health in people with diabetes.</w:t>
      </w:r>
    </w:p>
    <w:p w:rsidP="005D5AE4">
      <w:pPr>
        <w:contextualSpacing/>
        <w:rPr>
          <w:noProof/>
        </w:rPr>
      </w:pPr>
      <w:r>
        <w:t>2 Identify patients who would benefit most from continuous glucose monitoring.</w:t>
      </w:r>
    </w:p>
    <w:p w:rsidP="005D5AE4">
      <w:pPr>
        <w:contextualSpacing/>
        <w:rPr>
          <w:noProof/>
        </w:rPr>
      </w:pPr>
      <w:r>
        <w:t>3 Locate and access cost-saving programs for diabetes medications.</w:t>
      </w:r>
    </w:p>
    <w:p w:rsidP="005D5AE4">
      <w:pPr>
        <w:contextualSpacing/>
        <w:rPr>
          <w:noProof/>
        </w:rPr>
      </w:pPr>
      <w:r>
        <w:t>4 Conduct initial evaluation when type 1 diabetes is suspected.</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AE35B9">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rPr>
          <w:noProof/>
        </w:rPr>
        <w:instrText>"</w:instrText>
      </w:r>
      <w:r>
        <w:rPr>
          <w:noProof/>
        </w:rPr>
        <w:instrText>"</w:instrText>
      </w:r>
      <w:r w:rsidR="000677C6">
        <w:instrText xml:space="preserve"> &lt;&gt; "" "</w:instrText>
      </w:r>
      <w:r>
        <w:fldChar w:fldCharType="begin"/>
      </w:r>
      <w:r>
        <w:instrText xml:space="preserve"> MERGEFIELD ActivityFormat </w:instrText>
      </w:r>
      <w:r>
        <w:fldChar w:fldCharType="separate"/>
      </w:r>
      <w:r w:rsidR="00AC4A8F">
        <w:rPr>
          <w:noProof/>
        </w:rPr>
        <w:instrText>«ActivityFormat»</w:instrText>
      </w:r>
      <w:r>
        <w:rPr>
          <w:noProof/>
        </w:rPr>
        <w:fldChar w:fldCharType="end"/>
      </w:r>
      <w:r w:rsidR="000677C6">
        <w:instrText xml:space="preserve">" "activity" </w:instrText>
      </w:r>
      <w:r w:rsidR="000677C6">
        <w:fldChar w:fldCharType="separate"/>
      </w:r>
      <w:r w:rsidR="000677C6">
        <w:t>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D4485D">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Beth Allen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Cathryn Ashe, Practice Manager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G Charles,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Kara Hawkins,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Suzanne Nadal,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LaTonya D Russell,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D4485D">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D4485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Continuing Medical Education</w:t>
    </w:r>
  </w:p>
  <w:p w:rsidR="00203557" w:rsidP="00FF4472">
    <w:pPr>
      <w:pStyle w:val="Footer"/>
      <w:jc w:val="right"/>
      <w:rPr>
        <w:b/>
        <w:bCs/>
      </w:rPr>
    </w:pPr>
    <w:r>
      <w:fldChar w:fldCharType="begin"/>
    </w:r>
    <w:r>
      <w:instrText xml:space="preserve"> HYPERLINK "mailto:cme@sentara.com" </w:instrText>
    </w:r>
    <w:r>
      <w:fldChar w:fldCharType="separate"/>
    </w:r>
    <w:r w:rsidRPr="000002D7">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2024-08-30T16:09:00Z</dcterms:created>
  <dcterms:modified xsi:type="dcterms:W3CDTF">2024-08-30T16:09:00Z</dcterms:modified>
</cp:coreProperties>
</file>