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SNVMC Prospective Breast Cancer</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12:30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1:30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12:30 PM</w:t>
      </w:r>
      <w:r w:rsidR="00BE24B9">
        <w:rPr>
          <w:b/>
          <w:bCs/>
        </w:rPr>
        <w:t xml:space="preserve"> </w:t>
      </w:r>
      <w:r w:rsidR="00BE24B9">
        <w:rPr>
          <w:rFonts w:ascii="Calibri" w:hAnsi="Calibri" w:cs="Calibri"/>
          <w:b/>
          <w:bCs/>
        </w:rPr>
        <w:t xml:space="preserve">– </w:t>
      </w:r>
      <w:r w:rsidR="00BE24B9">
        <w:rPr>
          <w:rFonts w:ascii="Calibri" w:hAnsi="Calibri" w:cs="Calibri"/>
          <w:b/>
          <w:bCs/>
        </w:rPr>
        <w:t>1:30 PM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rPr>
          <w:noProof/>
        </w:rPr>
        <w:instrText>"</w:instrText>
      </w:r>
      <w:r>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optimal treatment plans for patients with cancer managed at Sentara Healthcare integrating surgery, radiation therapy, chemotherapy, targeted therapy, and immunotherapy as needed.</w:t>
      </w:r>
    </w:p>
    <w:p w:rsidP="005D5AE4">
      <w:pPr>
        <w:contextualSpacing/>
        <w:rPr>
          <w:noProof/>
        </w:rPr>
      </w:pPr>
      <w:r>
        <w:t xml:space="preserve">2 Include members of the multidisciplinary cancer care team in a patient-focused conversation that addresses both patient care needs and team roles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Byrne, MSN, RN, PCCN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Farn Chan,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Theresa Guzman,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Britney M Hibbert,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Ladd, RN, MSN, RN-BC,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Silverberg,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Strand,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