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2026 Epilepsy Surgery Case Conference</w:instrText>
      </w:r>
      <w:r>
        <w:rPr>
          <w:b/>
          <w:bCs/>
        </w:rPr>
        <w:instrText>"</w:instrText>
      </w:r>
      <w:r>
        <w:rPr>
          <w:b/>
          <w:bCs/>
        </w:rPr>
        <w:instrText xml:space="preserve"> &lt;&gt; "" "</w:instrText>
      </w:r>
      <w:r>
        <w:rPr>
          <w:b/>
          <w:bCs/>
        </w:rPr>
        <w:instrText>2026 Epilepsy Surgery Case Conference</w:instrText>
      </w:r>
    </w:p>
    <w:p w:rsidR="00AC4A8F" w:rsidP="00AC4A8F">
      <w:pPr>
        <w:contextualSpacing/>
        <w:jc w:val="center"/>
        <w:rPr>
          <w:b/>
          <w:bCs/>
          <w:noProof/>
        </w:rPr>
      </w:pPr>
      <w:r>
        <w:rPr>
          <w:b/>
          <w:bCs/>
        </w:rPr>
        <w:instrText xml:space="preserve">" "" </w:instrText>
      </w:r>
      <w:r>
        <w:rPr>
          <w:b/>
          <w:bCs/>
        </w:rPr>
        <w:fldChar w:fldCharType="separate"/>
      </w:r>
      <w:r>
        <w:rPr>
          <w:b/>
          <w:bCs/>
        </w:rPr>
        <w:t>2026 Epilepsy Surgery Case Conference</w:t>
      </w:r>
    </w:p>
    <w:p w:rsidP="00AC4A8F">
      <w:pPr>
        <w:contextualSpacing/>
        <w:jc w:val="center"/>
        <w:rPr>
          <w:b/>
          <w:bCs/>
        </w:rPr>
      </w:pPr>
      <w:r>
        <w:rPr>
          <w:b/>
          <w:bCs/>
        </w:rPr>
        <w:fldChar w:fldCharType="end"/>
      </w:r>
      <w:r>
        <w:rPr>
          <w:b/>
          <w:bCs/>
        </w:rPr>
        <w:t>2026 Epilepsy Surgery Case Conference - 3/18/2026</w:t>
      </w:r>
    </w:p>
    <w:p w:rsidR="00BE24B9" w:rsidP="00842797">
      <w:pPr>
        <w:contextualSpacing/>
        <w:jc w:val="center"/>
        <w:rPr>
          <w:b/>
          <w:bCs/>
        </w:rPr>
      </w:pPr>
      <w:r>
        <w:rPr>
          <w:b/>
          <w:bCs/>
        </w:rPr>
        <w:t>March 18, 2026</w:t>
      </w:r>
      <w:r w:rsidR="002D781B">
        <w:rPr>
          <w:b/>
          <w:bCs/>
        </w:rPr>
        <w:fldChar w:fldCharType="begin"/>
      </w:r>
      <w:r w:rsidR="002D781B">
        <w:rPr>
          <w:b/>
          <w:bCs/>
        </w:rPr>
        <w:instrText xml:space="preserve"> IF </w:instrText>
      </w:r>
      <w:r w:rsidR="002D781B">
        <w:rPr>
          <w:b/>
          <w:bCs/>
        </w:rPr>
        <w:instrText>"</w:instrText>
      </w:r>
      <w:r w:rsidR="002D781B">
        <w:rPr>
          <w:b/>
          <w:bCs/>
        </w:rPr>
        <w:instrText>3, 18, 2026</w:instrText>
      </w:r>
      <w:r w:rsidR="002D781B">
        <w:rPr>
          <w:b/>
          <w:bCs/>
        </w:rPr>
        <w:instrText>"</w:instrText>
      </w:r>
      <w:r w:rsidR="002D781B">
        <w:rPr>
          <w:b/>
          <w:bCs/>
        </w:rPr>
        <w:instrText xml:space="preserve"> &lt;&gt; "</w:instrText>
      </w:r>
      <w:r w:rsidR="002D781B">
        <w:rPr>
          <w:b/>
          <w:bCs/>
        </w:rPr>
        <w:instrText>3, 18, 2026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4:00 PM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5:00 PM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4:00 PM</w:t>
      </w:r>
      <w:r w:rsidR="00BE24B9">
        <w:rPr>
          <w:b/>
          <w:bCs/>
        </w:rPr>
        <w:t xml:space="preserve"> </w:t>
      </w:r>
      <w:r w:rsidR="00BE24B9">
        <w:rPr>
          <w:rFonts w:ascii="Calibri" w:hAnsi="Calibri" w:cs="Calibri"/>
          <w:b/>
          <w:bCs/>
        </w:rPr>
        <w:t xml:space="preserve">– </w:t>
      </w:r>
      <w:r w:rsidR="00BE24B9">
        <w:rPr>
          <w:rFonts w:ascii="Calibri" w:hAnsi="Calibri" w:cs="Calibri"/>
          <w:b/>
          <w:bCs/>
        </w:rPr>
        <w:t>5:00 PM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Sentara Fort Norfolk</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instrText>Sentara Fort Norfolk</w:instrText>
      </w:r>
      <w:r>
        <w:rPr>
          <w:b/>
          <w:bCs/>
        </w:rPr>
        <w:instrText xml:space="preserve">" "" </w:instrText>
      </w:r>
      <w:r>
        <w:rPr>
          <w:b/>
          <w:bCs/>
        </w:rPr>
        <w:fldChar w:fldCharType="separate"/>
      </w:r>
    </w:p>
    <w:p w:rsidR="00BE24B9" w:rsidP="00842797">
      <w:pPr>
        <w:contextualSpacing/>
        <w:jc w:val="center"/>
        <w:rPr>
          <w:b/>
          <w:bCs/>
        </w:rPr>
      </w:pPr>
      <w:r>
        <w:rPr>
          <w:b/>
          <w:bCs/>
        </w:rPr>
        <w:t>Sentara Fort Norfolk</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rPr>
          <w:noProof/>
        </w:rPr>
        <w:instrText>"</w:instrText>
      </w:r>
      <w:r>
        <w:rPr>
          <w:noProof/>
        </w:rP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fldChar w:fldCharType="begin"/>
      </w:r>
      <w:r>
        <w:instrText xml:space="preserve"> MERGEFIELD TargetProfessions </w:instrText>
      </w:r>
      <w:r>
        <w:fldChar w:fldCharType="separate"/>
      </w:r>
      <w:r w:rsidR="00AC4A8F">
        <w:rPr>
          <w:noProof/>
        </w:rPr>
        <w:instrText>«TargetProfessions»</w:instrText>
      </w:r>
      <w:r>
        <w:rPr>
          <w:noProof/>
        </w:rPr>
        <w:fldChar w:fldCharType="end"/>
      </w:r>
    </w:p>
    <w:p w:rsidR="005D5AE4" w:rsidP="005D5AE4">
      <w:pPr>
        <w:contextualSpacing/>
      </w:pPr>
    </w:p>
    <w:p w:rsidR="00AC4A8F" w:rsidRPr="005D5AE4" w:rsidP="005D5AE4">
      <w:pPr>
        <w:contextualSpacing/>
        <w:rPr>
          <w:b/>
          <w:bCs/>
          <w:noProof/>
        </w:rPr>
      </w:pPr>
      <w:r>
        <w:instrText xml:space="preserve">" "" </w:instrText>
      </w:r>
      <w:r>
        <w:fldChar w:fldCharType="separate"/>
      </w:r>
      <w:r>
        <w:fldChar w:fldCharType="end"/>
      </w:r>
      <w:r>
        <w:fldChar w:fldCharType="begin"/>
      </w:r>
      <w:r>
        <w:instrText xml:space="preserve"> IF </w:instrText>
      </w:r>
      <w:r>
        <w:instrText>Neurology</w:instrText>
      </w:r>
      <w:r>
        <w:instrText xml:space="preserve"> &lt;&gt; "" "</w:instrText>
      </w:r>
      <w:r>
        <w:rPr>
          <w:b/>
          <w:bCs/>
        </w:rPr>
        <w:instrText>Specialties</w:instrText>
      </w:r>
    </w:p>
    <w:p w:rsidR="007C02ED" w:rsidP="005D5AE4">
      <w:pPr>
        <w:contextualSpacing/>
      </w:pPr>
      <w:r>
        <w:instrText>Neurology</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Neurology</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Describe appropriate criteria for determining drug refractory patients and identify the subset of patients who could benefit from epilepsy surgery</w:instrText>
      </w:r>
    </w:p>
    <w:p w:rsidP="005D5AE4">
      <w:pPr>
        <w:contextualSpacing/>
        <w:rPr>
          <w:noProof/>
        </w:rPr>
      </w:pPr>
      <w:r>
        <w:instrText>2 Identify treatment modalities available for drug refractory patients.</w:instrText>
      </w:r>
    </w:p>
    <w:p w:rsidP="005D5AE4">
      <w:pPr>
        <w:contextualSpacing/>
        <w:rPr>
          <w:noProof/>
        </w:rPr>
      </w:pPr>
      <w:r>
        <w:instrText>3 Examine surgical intervention of the patients and ongoing management</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Describe appropriate criteria for determining drug refractory patients and identify the subset of patients who could benefit from epilepsy surgery</w:instrText>
      </w:r>
    </w:p>
    <w:p w:rsidP="005D5AE4">
      <w:pPr>
        <w:contextualSpacing/>
        <w:rPr>
          <w:noProof/>
        </w:rPr>
      </w:pPr>
      <w:r>
        <w:instrText>2 Identify treatment modalities available for drug refractory patients.</w:instrText>
      </w:r>
    </w:p>
    <w:p w:rsidP="005D5AE4">
      <w:pPr>
        <w:contextualSpacing/>
        <w:rPr>
          <w:noProof/>
        </w:rPr>
      </w:pPr>
      <w:r>
        <w:instrText>3 Examine surgical intervention of the patients and ongoing management</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Describe appropriate criteria for determining drug refractory patients and identify the subset of patients who could benefit from epilepsy surgery</w:t>
      </w:r>
    </w:p>
    <w:p w:rsidP="005D5AE4">
      <w:pPr>
        <w:contextualSpacing/>
        <w:rPr>
          <w:noProof/>
        </w:rPr>
      </w:pPr>
      <w:r>
        <w:t>2 Identify treatment modalities available for drug refractory patients.</w:t>
      </w:r>
    </w:p>
    <w:p w:rsidP="005D5AE4">
      <w:pPr>
        <w:contextualSpacing/>
        <w:rPr>
          <w:noProof/>
        </w:rPr>
      </w:pPr>
      <w:r>
        <w:t>3 Examine surgical intervention of the patients and ongoing management</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ABIM2HoursMax \# 0.00# </w:instrText>
      </w:r>
      <w:r w:rsidRPr="000B7E6A">
        <w:fldChar w:fldCharType="separate"/>
      </w:r>
      <w:r w:rsidRPr="000B7E6A">
        <w:fldChar w:fldCharType="end"/>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Graf,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Bureau-UCB|Speakers Bureau-LivaNova|Speakers Bureau-Neurelis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Nicole L Henderson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Latasha L Howard,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 Queta M Johnson,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