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Bimonthly APP Huddle</w:instrText>
      </w:r>
      <w:r>
        <w:rPr>
          <w:b/>
          <w:bCs/>
        </w:rPr>
        <w:instrText>"</w:instrText>
      </w:r>
      <w:r>
        <w:rPr>
          <w:b/>
          <w:bCs/>
        </w:rPr>
        <w:instrText xml:space="preserve"> &lt;&gt; "" "</w:instrText>
      </w:r>
      <w:r>
        <w:rPr>
          <w:b/>
          <w:bCs/>
        </w:rPr>
        <w:instrText>2026 Bimonthly APP Huddle</w:instrText>
      </w:r>
    </w:p>
    <w:p w:rsidR="00AC4A8F" w:rsidP="00AC4A8F">
      <w:pPr>
        <w:contextualSpacing/>
        <w:jc w:val="center"/>
        <w:rPr>
          <w:b/>
          <w:bCs/>
          <w:noProof/>
        </w:rPr>
      </w:pPr>
      <w:r>
        <w:rPr>
          <w:b/>
          <w:bCs/>
        </w:rPr>
        <w:instrText xml:space="preserve">" "" </w:instrText>
      </w:r>
      <w:r>
        <w:rPr>
          <w:b/>
          <w:bCs/>
        </w:rPr>
        <w:fldChar w:fldCharType="separate"/>
      </w:r>
      <w:r>
        <w:rPr>
          <w:b/>
          <w:bCs/>
        </w:rPr>
        <w:t>2026 Bimonthly APP Huddle</w:t>
      </w:r>
    </w:p>
    <w:p w:rsidP="00AC4A8F">
      <w:pPr>
        <w:contextualSpacing/>
        <w:jc w:val="center"/>
        <w:rPr>
          <w:b/>
          <w:bCs/>
        </w:rPr>
      </w:pPr>
      <w:r>
        <w:rPr>
          <w:b/>
          <w:bCs/>
        </w:rPr>
        <w:fldChar w:fldCharType="end"/>
      </w:r>
      <w:r>
        <w:rPr>
          <w:b/>
          <w:bCs/>
        </w:rPr>
        <w:t>2026 Bimonthly APP Huddle -Hyperlipidemia</w:t>
      </w:r>
    </w:p>
    <w:p w:rsidR="00BE24B9" w:rsidP="00842797">
      <w:pPr>
        <w:contextualSpacing/>
        <w:jc w:val="center"/>
        <w:rPr>
          <w:b/>
          <w:bCs/>
        </w:rPr>
      </w:pPr>
      <w:r>
        <w:rPr>
          <w:b/>
          <w:bCs/>
        </w:rPr>
        <w:t>June 10, 2026</w:t>
      </w:r>
      <w:r w:rsidR="002D781B">
        <w:rPr>
          <w:b/>
          <w:bCs/>
        </w:rPr>
        <w:fldChar w:fldCharType="begin"/>
      </w:r>
      <w:r w:rsidR="002D781B">
        <w:rPr>
          <w:b/>
          <w:bCs/>
        </w:rPr>
        <w:instrText xml:space="preserve"> IF </w:instrText>
      </w:r>
      <w:r w:rsidR="002D781B">
        <w:rPr>
          <w:b/>
          <w:bCs/>
        </w:rPr>
        <w:instrText>"</w:instrText>
      </w:r>
      <w:r w:rsidR="002D781B">
        <w:rPr>
          <w:b/>
          <w:bCs/>
        </w:rPr>
        <w:instrText>6, 10, 2026</w:instrText>
      </w:r>
      <w:r w:rsidR="002D781B">
        <w:rPr>
          <w:b/>
          <w:bCs/>
        </w:rPr>
        <w:instrText>"</w:instrText>
      </w:r>
      <w:r w:rsidR="002D781B">
        <w:rPr>
          <w:b/>
          <w:bCs/>
        </w:rPr>
        <w:instrText xml:space="preserve"> &lt;&gt; "</w:instrText>
      </w:r>
      <w:r w:rsidR="002D781B">
        <w:rPr>
          <w:b/>
          <w:bCs/>
        </w:rPr>
        <w:instrText>6, 10, 2026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Online</w:instrText>
      </w:r>
      <w:r w:rsidR="00BE24B9">
        <w:rPr>
          <w:b/>
          <w:bCs/>
        </w:rPr>
        <w:instrText xml:space="preserve"> &lt;&gt; "" "</w:instrText>
      </w:r>
    </w:p>
    <w:p w:rsidR="00AC4A8F" w:rsidP="00842797">
      <w:pPr>
        <w:contextualSpacing/>
        <w:jc w:val="center"/>
        <w:rPr>
          <w:b/>
          <w:bCs/>
          <w:noProof/>
        </w:rPr>
      </w:pPr>
      <w:r>
        <w:rPr>
          <w:b/>
          <w:bCs/>
        </w:rPr>
        <w:instrText>Online</w:instrText>
      </w:r>
      <w:r>
        <w:rPr>
          <w:b/>
          <w:bCs/>
        </w:rPr>
        <w:instrText xml:space="preserve">" "" </w:instrText>
      </w:r>
      <w:r>
        <w:rPr>
          <w:b/>
          <w:bCs/>
        </w:rPr>
        <w:fldChar w:fldCharType="separate"/>
      </w:r>
    </w:p>
    <w:p w:rsidR="00BE24B9" w:rsidP="00842797">
      <w:pPr>
        <w:contextualSpacing/>
        <w:jc w:val="center"/>
        <w:rPr>
          <w:b/>
          <w:bCs/>
        </w:rPr>
      </w:pPr>
      <w:r>
        <w:rPr>
          <w:b/>
          <w:bCs/>
        </w:rPr>
        <w:t>Online</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CRNA, Nurse Practitioner,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CRNA, Nurse Practitioner,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CRNA, Nurse Practitioner,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Implement screening, monitoring, and management strategies for hyperlipidemia in diverse patient populations.</w:instrText>
      </w:r>
    </w:p>
    <w:p w:rsidP="005D5AE4">
      <w:pPr>
        <w:contextualSpacing/>
        <w:rPr>
          <w:noProof/>
        </w:rPr>
      </w:pPr>
    </w:p>
    <w:p w:rsidP="005D5AE4">
      <w:pPr>
        <w:contextualSpacing/>
        <w:rPr>
          <w:noProof/>
        </w:rPr>
      </w:pPr>
      <w:r>
        <w:instrText>2 Choose the PREVENT ASCVD risk calculator to identify ideal candidates for statin and other intensification therapy.</w:instrText>
      </w:r>
    </w:p>
    <w:p w:rsidP="005D5AE4">
      <w:pPr>
        <w:contextualSpacing/>
        <w:rPr>
          <w:noProof/>
        </w:rPr>
      </w:pPr>
    </w:p>
    <w:p w:rsidP="005D5AE4">
      <w:pPr>
        <w:contextualSpacing/>
        <w:rPr>
          <w:noProof/>
        </w:rPr>
      </w:pPr>
      <w:r>
        <w:instrText>3 Dissect the various statin potency classes and how to modify or titrate therapy based on treatment goals.</w:instrText>
      </w:r>
    </w:p>
    <w:p w:rsidP="005D5AE4">
      <w:pPr>
        <w:contextualSpacing/>
        <w:rPr>
          <w:noProof/>
        </w:rPr>
      </w:pPr>
    </w:p>
    <w:p w:rsidP="005D5AE4">
      <w:pPr>
        <w:contextualSpacing/>
        <w:rPr>
          <w:noProof/>
        </w:rPr>
      </w:pPr>
      <w:r>
        <w:instrText>4 Illustrate how the prescribing and adherence to statin therapy for high-risk patients with diabetes and ASCVD effects HEDIS goals and improves outcomes.</w:instrText>
      </w:r>
    </w:p>
    <w:p w:rsidP="005D5AE4">
      <w:pPr>
        <w:contextualSpacing/>
        <w:rPr>
          <w:noProof/>
        </w:rPr>
      </w:pPr>
    </w:p>
    <w:p w:rsidP="005D5AE4">
      <w:pPr>
        <w:contextualSpacing/>
        <w:rPr>
          <w:noProof/>
        </w:rPr>
      </w:pPr>
      <w:r>
        <w:instrText>5 Select non-statin alternatives to manage those with statin intolerance or who fail to achieve treatment goals on maximally tolerated statin.</w:instrText>
      </w:r>
    </w:p>
    <w:p w:rsidP="005D5AE4">
      <w:pPr>
        <w:contextualSpacing/>
        <w:rPr>
          <w:noProof/>
        </w:rPr>
      </w:pPr>
      <w:r>
        <w:rPr>
          <w:noProof/>
        </w:rP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Implement screening, monitoring, and management strategies for hyperlipidemia in diverse patient populations.</w:instrText>
      </w:r>
    </w:p>
    <w:p w:rsidP="005D5AE4">
      <w:pPr>
        <w:contextualSpacing/>
        <w:rPr>
          <w:noProof/>
        </w:rPr>
      </w:pPr>
    </w:p>
    <w:p w:rsidP="005D5AE4">
      <w:pPr>
        <w:contextualSpacing/>
        <w:rPr>
          <w:noProof/>
        </w:rPr>
      </w:pPr>
      <w:r>
        <w:instrText>2 Choose the PREVENT ASCVD risk calculator to identify ideal candidates for statin and other intensification therapy.</w:instrText>
      </w:r>
    </w:p>
    <w:p w:rsidP="005D5AE4">
      <w:pPr>
        <w:contextualSpacing/>
        <w:rPr>
          <w:noProof/>
        </w:rPr>
      </w:pPr>
    </w:p>
    <w:p w:rsidP="005D5AE4">
      <w:pPr>
        <w:contextualSpacing/>
        <w:rPr>
          <w:noProof/>
        </w:rPr>
      </w:pPr>
      <w:r>
        <w:instrText>3 Dissect the various statin potency classes and how to modify or titrate therapy based on treatment goals.</w:instrText>
      </w:r>
    </w:p>
    <w:p w:rsidP="005D5AE4">
      <w:pPr>
        <w:contextualSpacing/>
        <w:rPr>
          <w:noProof/>
        </w:rPr>
      </w:pPr>
    </w:p>
    <w:p w:rsidP="005D5AE4">
      <w:pPr>
        <w:contextualSpacing/>
        <w:rPr>
          <w:noProof/>
        </w:rPr>
      </w:pPr>
      <w:r>
        <w:instrText>4 Illustrate how the prescribing and adherence to statin therapy for high-risk patients with diabetes and ASCVD effects HEDIS goals and improves outcomes.</w:instrText>
      </w:r>
    </w:p>
    <w:p w:rsidP="005D5AE4">
      <w:pPr>
        <w:contextualSpacing/>
        <w:rPr>
          <w:noProof/>
        </w:rPr>
      </w:pPr>
    </w:p>
    <w:p w:rsidP="005D5AE4">
      <w:pPr>
        <w:contextualSpacing/>
        <w:rPr>
          <w:noProof/>
        </w:rPr>
      </w:pPr>
      <w:r>
        <w:instrText>5 Select non-statin alternatives to manage those with statin intolerance or who fail to achieve treatment goals on maximally tolerated statin.</w:instrText>
      </w:r>
    </w:p>
    <w:p w:rsidP="005D5AE4">
      <w:pPr>
        <w:contextualSpacing/>
        <w:rPr>
          <w:noProof/>
        </w:rPr>
      </w:pP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Implement screening, monitoring, and management strategies for hyperlipidemia in diverse patient populations.</w:t>
      </w:r>
    </w:p>
    <w:p w:rsidP="005D5AE4">
      <w:pPr>
        <w:contextualSpacing/>
        <w:rPr>
          <w:noProof/>
        </w:rPr>
      </w:pPr>
    </w:p>
    <w:p w:rsidP="005D5AE4">
      <w:pPr>
        <w:contextualSpacing/>
        <w:rPr>
          <w:noProof/>
        </w:rPr>
      </w:pPr>
      <w:r>
        <w:t>2 Choose the PREVENT ASCVD risk calculator to identify ideal candidates for statin and other intensification therapy.</w:t>
      </w:r>
    </w:p>
    <w:p w:rsidP="005D5AE4">
      <w:pPr>
        <w:contextualSpacing/>
        <w:rPr>
          <w:noProof/>
        </w:rPr>
      </w:pPr>
    </w:p>
    <w:p w:rsidP="005D5AE4">
      <w:pPr>
        <w:contextualSpacing/>
        <w:rPr>
          <w:noProof/>
        </w:rPr>
      </w:pPr>
      <w:r>
        <w:t>3 Dissect the various statin potency classes and how to modify or titrate therapy based on treatment goals.</w:t>
      </w:r>
    </w:p>
    <w:p w:rsidP="005D5AE4">
      <w:pPr>
        <w:contextualSpacing/>
        <w:rPr>
          <w:noProof/>
        </w:rPr>
      </w:pPr>
    </w:p>
    <w:p w:rsidP="005D5AE4">
      <w:pPr>
        <w:contextualSpacing/>
        <w:rPr>
          <w:noProof/>
        </w:rPr>
      </w:pPr>
      <w:r>
        <w:t>4 Illustrate how the prescribing and adherence to statin therapy for high-risk patients with diabetes and ASCVD effects HEDIS goals and improves outcomes.</w:t>
      </w:r>
    </w:p>
    <w:p w:rsidP="005D5AE4">
      <w:pPr>
        <w:contextualSpacing/>
        <w:rPr>
          <w:noProof/>
        </w:rPr>
      </w:pPr>
    </w:p>
    <w:p w:rsidP="005D5AE4">
      <w:pPr>
        <w:contextualSpacing/>
        <w:rPr>
          <w:noProof/>
        </w:rPr>
      </w:pPr>
      <w:r>
        <w:t>5 Select non-statin alternatives to manage those with statin intolerance or who fail to achieve treatment goals on maximally tolerated statin.</w:t>
      </w:r>
    </w:p>
    <w:p w:rsidP="005D5AE4">
      <w:pPr>
        <w:contextualSpacing/>
        <w:rPr>
          <w:noProof/>
        </w:rPr>
      </w:pP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Anthony Fisher,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A Jordan,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JR Reitman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Deborah A Walsh, FNP-BC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J Whitehurst, ACNP-BC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N Zeiber,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